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FE5E5" w14:textId="77777777" w:rsidR="00EF4D5E" w:rsidRDefault="00785411" w:rsidP="00EF4D5E">
      <w:pPr>
        <w:pStyle w:val="Heading1"/>
        <w:jc w:val="center"/>
      </w:pPr>
      <w:r>
        <w:t>Cognos Upgrade Informatio</w:t>
      </w:r>
      <w:r w:rsidR="00EF4D5E">
        <w:t xml:space="preserve">n  </w:t>
      </w:r>
    </w:p>
    <w:p w14:paraId="3CF08EC9" w14:textId="4844439A" w:rsidR="00EF4D5E" w:rsidRPr="00EF4D5E" w:rsidRDefault="00342BDC" w:rsidP="00EF4D5E">
      <w:pPr>
        <w:pStyle w:val="Heading1"/>
        <w:jc w:val="center"/>
      </w:pPr>
      <w:r>
        <w:t xml:space="preserve">Version </w:t>
      </w:r>
      <w:r w:rsidR="00EF4D5E">
        <w:t>11.1.7 to 11.2.3</w:t>
      </w:r>
    </w:p>
    <w:p w14:paraId="55945C52" w14:textId="77777777" w:rsidR="00785411" w:rsidRDefault="00785411" w:rsidP="00785411"/>
    <w:p w14:paraId="275B762F" w14:textId="0174C61D" w:rsidR="002826FC" w:rsidRDefault="00785411">
      <w:r>
        <w:t xml:space="preserve">SOU is migrating from Cognos 11.1.7 to 11.2.3 to stay current for ODS.   This document is intended to provide you with the information you need as SOU upgrades.    </w:t>
      </w:r>
    </w:p>
    <w:p w14:paraId="5AA324FD" w14:textId="1998AC3B" w:rsidR="0079246E" w:rsidRDefault="00785411">
      <w:r>
        <w:t xml:space="preserve">The two versions work very much the same </w:t>
      </w:r>
      <w:r w:rsidR="007E6097">
        <w:t xml:space="preserve">but the presentation and organization of some functionality has changed.  </w:t>
      </w:r>
      <w:r>
        <w:t>The impact of the changes var</w:t>
      </w:r>
      <w:r w:rsidR="00C118A6">
        <w:t>ies</w:t>
      </w:r>
      <w:r>
        <w:t xml:space="preserve"> depending on </w:t>
      </w:r>
      <w:r w:rsidR="00C118A6">
        <w:t xml:space="preserve">your Cognos access and </w:t>
      </w:r>
      <w:r>
        <w:t xml:space="preserve">changes you </w:t>
      </w:r>
      <w:r w:rsidR="00CD78D2">
        <w:t>may have previously</w:t>
      </w:r>
      <w:r>
        <w:t xml:space="preserve"> made to your personal settings such as starting page, number of rows displayed, and portal page display.</w:t>
      </w:r>
    </w:p>
    <w:p w14:paraId="2D4AFE75" w14:textId="311086DA" w:rsidR="002826FC" w:rsidRDefault="00FF63CE">
      <w:r w:rsidRPr="00FF63CE">
        <w:rPr>
          <w:b/>
        </w:rPr>
        <w:t>For all:</w:t>
      </w:r>
      <w:r>
        <w:t xml:space="preserve"> </w:t>
      </w:r>
    </w:p>
    <w:p w14:paraId="0B69C7B7" w14:textId="77777777" w:rsidR="00FB7AE6" w:rsidRDefault="002826FC" w:rsidP="00FB7AE6">
      <w:pPr>
        <w:pStyle w:val="ListParagraph"/>
        <w:numPr>
          <w:ilvl w:val="0"/>
          <w:numId w:val="7"/>
        </w:numPr>
      </w:pPr>
      <w:r>
        <w:t>T</w:t>
      </w:r>
      <w:r w:rsidR="00C118A6">
        <w:t xml:space="preserve">he login to Cognos has not changed.   </w:t>
      </w:r>
      <w:r w:rsidR="00243186">
        <w:t>Withi</w:t>
      </w:r>
      <w:r w:rsidR="00C118A6">
        <w:t xml:space="preserve">n </w:t>
      </w:r>
      <w:proofErr w:type="spellStart"/>
      <w:r w:rsidR="00C118A6">
        <w:t>InsideSOU</w:t>
      </w:r>
      <w:proofErr w:type="spellEnd"/>
      <w:r w:rsidR="00C118A6">
        <w:t>, click the link and enter your SOU credentials when prompted.</w:t>
      </w:r>
      <w:r w:rsidR="00FB7AE6" w:rsidRPr="00FB7AE6">
        <w:t xml:space="preserve"> </w:t>
      </w:r>
    </w:p>
    <w:p w14:paraId="746B29C5" w14:textId="77777777" w:rsidR="00FB7AE6" w:rsidRDefault="00FB7AE6" w:rsidP="00FB7AE6">
      <w:pPr>
        <w:pStyle w:val="ListParagraph"/>
      </w:pPr>
    </w:p>
    <w:p w14:paraId="0C40AEE1" w14:textId="120630B4" w:rsidR="00FB7AE6" w:rsidRDefault="00FB7AE6" w:rsidP="00FB7AE6">
      <w:pPr>
        <w:pStyle w:val="ListParagraph"/>
        <w:numPr>
          <w:ilvl w:val="0"/>
          <w:numId w:val="7"/>
        </w:numPr>
      </w:pPr>
      <w:r>
        <w:t xml:space="preserve">After logging in, depending on your configuration, you may be presented with the option to view the new features for 11.2.3.  If you are, it will look like this.   You can view the features if you wish, then dismiss the dialog by clicking </w:t>
      </w:r>
      <w:r w:rsidR="00115665">
        <w:t xml:space="preserve">The Dismiss button </w:t>
      </w:r>
      <w:r>
        <w:t>as indicated by the arrows:</w:t>
      </w:r>
      <w:r w:rsidRPr="002826FC">
        <w:rPr>
          <w:noProof/>
        </w:rPr>
        <w:t xml:space="preserve"> </w:t>
      </w:r>
    </w:p>
    <w:p w14:paraId="4F8689C1" w14:textId="5D1E7CCB" w:rsidR="00FB7AE6" w:rsidRDefault="00FB7AE6" w:rsidP="00FB7AE6">
      <w:pPr>
        <w:pStyle w:val="ListParagraph"/>
      </w:pPr>
    </w:p>
    <w:p w14:paraId="5DB191B5" w14:textId="565DABB6" w:rsidR="002826FC" w:rsidRDefault="00FB7AE6" w:rsidP="002826FC">
      <w:pPr>
        <w:pStyle w:val="ListParagraph"/>
      </w:pPr>
      <w:r>
        <w:rPr>
          <w:noProof/>
        </w:rPr>
        <w:drawing>
          <wp:inline distT="0" distB="0" distL="0" distR="0" wp14:anchorId="62914493" wp14:editId="4B7C6064">
            <wp:extent cx="6858000" cy="2423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858000" cy="2423160"/>
                    </a:xfrm>
                    <a:prstGeom prst="rect">
                      <a:avLst/>
                    </a:prstGeom>
                    <a:noFill/>
                    <a:ln>
                      <a:noFill/>
                    </a:ln>
                  </pic:spPr>
                </pic:pic>
              </a:graphicData>
            </a:graphic>
          </wp:inline>
        </w:drawing>
      </w:r>
    </w:p>
    <w:p w14:paraId="6161CBC0" w14:textId="0B27F4C3" w:rsidR="00FB7AE6" w:rsidRDefault="00FB7AE6" w:rsidP="00FB7AE6">
      <w:pPr>
        <w:ind w:left="720"/>
      </w:pPr>
      <w:r>
        <w:t>For simplicity of presentation of screen shots, comparisons, etc., the rest of this document will assume you have     closed and dismissed.</w:t>
      </w:r>
    </w:p>
    <w:p w14:paraId="7EBDD125" w14:textId="73E41178" w:rsidR="002826FC" w:rsidRDefault="002826FC" w:rsidP="002826FC">
      <w:pPr>
        <w:pStyle w:val="ListParagraph"/>
        <w:numPr>
          <w:ilvl w:val="0"/>
          <w:numId w:val="7"/>
        </w:numPr>
      </w:pPr>
      <w:r>
        <w:t>There are no changes</w:t>
      </w:r>
      <w:r w:rsidR="00696F90">
        <w:t xml:space="preserve"> when running reports, except for the following:</w:t>
      </w:r>
    </w:p>
    <w:p w14:paraId="7A0D7A4C" w14:textId="77777777" w:rsidR="002826FC" w:rsidRDefault="002826FC" w:rsidP="002826FC">
      <w:pPr>
        <w:pStyle w:val="ListParagraph"/>
      </w:pPr>
    </w:p>
    <w:p w14:paraId="6D0F4B26" w14:textId="7AF3E7B8" w:rsidR="002826FC" w:rsidRDefault="002826FC" w:rsidP="00FB5E3D">
      <w:pPr>
        <w:pStyle w:val="ListParagraph"/>
        <w:numPr>
          <w:ilvl w:val="1"/>
          <w:numId w:val="7"/>
        </w:numPr>
      </w:pPr>
      <w:r>
        <w:t>If your report produces PDF output, the format will change to a two column presentation with vertical list of page thumbnails on the left and the current full page on the right</w:t>
      </w:r>
    </w:p>
    <w:p w14:paraId="5368EA5E" w14:textId="77777777" w:rsidR="002826FC" w:rsidRDefault="002826FC" w:rsidP="002826FC">
      <w:pPr>
        <w:pStyle w:val="ListParagraph"/>
      </w:pPr>
    </w:p>
    <w:p w14:paraId="7D6B7A73" w14:textId="42CCC387" w:rsidR="00BF49B1" w:rsidRDefault="002826FC" w:rsidP="00BF49B1">
      <w:pPr>
        <w:pStyle w:val="ListParagraph"/>
        <w:numPr>
          <w:ilvl w:val="1"/>
          <w:numId w:val="7"/>
        </w:numPr>
      </w:pPr>
      <w:r>
        <w:t>If your report produces XML output, that output will be directed to a download page instead of being presented in the browser</w:t>
      </w:r>
    </w:p>
    <w:p w14:paraId="62918C96" w14:textId="56090567" w:rsidR="00FB7AE6" w:rsidRDefault="00FB7AE6" w:rsidP="000F4880">
      <w:r>
        <w:t xml:space="preserve">There are 3 links </w:t>
      </w:r>
      <w:r w:rsidR="009B07A3">
        <w:t>o</w:t>
      </w:r>
      <w:r>
        <w:t xml:space="preserve">n </w:t>
      </w:r>
      <w:proofErr w:type="spellStart"/>
      <w:r>
        <w:t>InsideSOU</w:t>
      </w:r>
      <w:proofErr w:type="spellEnd"/>
      <w:r>
        <w:t xml:space="preserve"> for logging into Cognos (production):</w:t>
      </w:r>
    </w:p>
    <w:p w14:paraId="0AFE157D" w14:textId="4BB03391" w:rsidR="00FB7AE6" w:rsidRDefault="00FB7AE6" w:rsidP="00FB7AE6">
      <w:r>
        <w:rPr>
          <w:noProof/>
        </w:rPr>
        <w:lastRenderedPageBreak/>
        <w:drawing>
          <wp:inline distT="0" distB="0" distL="0" distR="0" wp14:anchorId="41B711ED" wp14:editId="2737792E">
            <wp:extent cx="225742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57425" cy="695325"/>
                    </a:xfrm>
                    <a:prstGeom prst="rect">
                      <a:avLst/>
                    </a:prstGeom>
                  </pic:spPr>
                </pic:pic>
              </a:graphicData>
            </a:graphic>
          </wp:inline>
        </w:drawing>
      </w:r>
    </w:p>
    <w:p w14:paraId="7D57208B" w14:textId="0865509E" w:rsidR="00FB7AE6" w:rsidRDefault="00FB7AE6">
      <w:r>
        <w:t xml:space="preserve">If you always log in via the Cognos – FIS or Cognos I*Reports links and do not navigate to the file/folder structure, there are no further changes affecting you.  </w:t>
      </w:r>
    </w:p>
    <w:p w14:paraId="78525F15" w14:textId="38EDD268" w:rsidR="00614BCA" w:rsidRDefault="006B4A1C" w:rsidP="00614BCA">
      <w:r>
        <w:t xml:space="preserve">If you access content via the file/folder structure, you will encounter additional changes.  </w:t>
      </w:r>
      <w:r w:rsidR="00754DD7">
        <w:t xml:space="preserve"> Examples:</w:t>
      </w:r>
    </w:p>
    <w:p w14:paraId="62E23720" w14:textId="3D22BA50" w:rsidR="006B4A1C" w:rsidRDefault="00614BCA" w:rsidP="00614BCA">
      <w:pPr>
        <w:jc w:val="center"/>
      </w:pPr>
      <w:r>
        <w:rPr>
          <w:noProof/>
        </w:rPr>
        <w:drawing>
          <wp:inline distT="0" distB="0" distL="0" distR="0" wp14:anchorId="5C8BFD05" wp14:editId="01769445">
            <wp:extent cx="5848656" cy="2156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48656" cy="2156976"/>
                    </a:xfrm>
                    <a:prstGeom prst="rect">
                      <a:avLst/>
                    </a:prstGeom>
                    <a:noFill/>
                    <a:ln>
                      <a:noFill/>
                    </a:ln>
                  </pic:spPr>
                </pic:pic>
              </a:graphicData>
            </a:graphic>
          </wp:inline>
        </w:drawing>
      </w:r>
    </w:p>
    <w:p w14:paraId="155A0402" w14:textId="07EEFCFF" w:rsidR="006B4A1C" w:rsidRDefault="00441455" w:rsidP="006B4A1C">
      <w:pPr>
        <w:pStyle w:val="ListParagraph"/>
        <w:numPr>
          <w:ilvl w:val="0"/>
          <w:numId w:val="9"/>
        </w:numPr>
      </w:pPr>
      <w:r>
        <w:t>The left icons are now hidden by default</w:t>
      </w:r>
      <w:r w:rsidR="006B4A1C">
        <w:t>.</w:t>
      </w:r>
      <w:r>
        <w:t xml:space="preserve">  Click on the menu icon</w:t>
      </w:r>
      <w:r w:rsidR="00D7240A">
        <w:t xml:space="preserve"> in the top left corner of the screen to display the items.</w:t>
      </w:r>
    </w:p>
    <w:p w14:paraId="071C44C6" w14:textId="77777777" w:rsidR="00614BCA" w:rsidRDefault="00614BCA" w:rsidP="00614BCA">
      <w:pPr>
        <w:pStyle w:val="ListParagraph"/>
      </w:pPr>
    </w:p>
    <w:tbl>
      <w:tblPr>
        <w:tblStyle w:val="TableGrid"/>
        <w:tblW w:w="0" w:type="auto"/>
        <w:jc w:val="center"/>
        <w:tblLook w:val="04A0" w:firstRow="1" w:lastRow="0" w:firstColumn="1" w:lastColumn="0" w:noHBand="0" w:noVBand="1"/>
      </w:tblPr>
      <w:tblGrid>
        <w:gridCol w:w="3386"/>
        <w:gridCol w:w="2748"/>
        <w:gridCol w:w="4656"/>
      </w:tblGrid>
      <w:tr w:rsidR="006B4A1C" w14:paraId="47DA8E40" w14:textId="77777777" w:rsidTr="006B4A1C">
        <w:trPr>
          <w:jc w:val="center"/>
        </w:trPr>
        <w:tc>
          <w:tcPr>
            <w:tcW w:w="3596" w:type="dxa"/>
          </w:tcPr>
          <w:p w14:paraId="373CA565" w14:textId="4973A626" w:rsidR="006B4A1C" w:rsidRDefault="006B4A1C" w:rsidP="003624EB">
            <w:pPr>
              <w:pStyle w:val="ListParagraph"/>
              <w:ind w:left="0"/>
              <w:jc w:val="center"/>
            </w:pPr>
            <w:r>
              <w:t>11.1.7 – wide browser</w:t>
            </w:r>
          </w:p>
        </w:tc>
        <w:tc>
          <w:tcPr>
            <w:tcW w:w="3597" w:type="dxa"/>
          </w:tcPr>
          <w:p w14:paraId="2CA1EF2E" w14:textId="562406DC" w:rsidR="006B4A1C" w:rsidRDefault="006B4A1C" w:rsidP="00614BCA">
            <w:pPr>
              <w:pStyle w:val="ListParagraph"/>
              <w:ind w:left="0"/>
              <w:jc w:val="center"/>
            </w:pPr>
            <w:r>
              <w:t>11.1.7 – narrow browser</w:t>
            </w:r>
          </w:p>
        </w:tc>
        <w:tc>
          <w:tcPr>
            <w:tcW w:w="3597" w:type="dxa"/>
          </w:tcPr>
          <w:p w14:paraId="5B61893B" w14:textId="1CB8C1F8" w:rsidR="006B4A1C" w:rsidRDefault="006B4A1C" w:rsidP="00614BCA">
            <w:pPr>
              <w:pStyle w:val="ListParagraph"/>
              <w:ind w:left="0"/>
              <w:jc w:val="center"/>
            </w:pPr>
            <w:r>
              <w:t>11.2.3</w:t>
            </w:r>
          </w:p>
        </w:tc>
      </w:tr>
      <w:tr w:rsidR="006B4A1C" w14:paraId="74123DEC" w14:textId="77777777" w:rsidTr="006B4A1C">
        <w:trPr>
          <w:jc w:val="center"/>
        </w:trPr>
        <w:tc>
          <w:tcPr>
            <w:tcW w:w="3596" w:type="dxa"/>
          </w:tcPr>
          <w:p w14:paraId="269003B8" w14:textId="1A8BB3E2" w:rsidR="006B4A1C" w:rsidRDefault="006B4A1C" w:rsidP="003624EB">
            <w:pPr>
              <w:pStyle w:val="ListParagraph"/>
              <w:ind w:left="0"/>
              <w:jc w:val="center"/>
            </w:pPr>
            <w:r>
              <w:t>(</w:t>
            </w:r>
            <w:r w:rsidR="003624EB">
              <w:t xml:space="preserve">note: </w:t>
            </w:r>
            <w:r>
              <w:t>icons with labels)</w:t>
            </w:r>
          </w:p>
        </w:tc>
        <w:tc>
          <w:tcPr>
            <w:tcW w:w="3597" w:type="dxa"/>
          </w:tcPr>
          <w:p w14:paraId="7DEB74D8" w14:textId="478366C5" w:rsidR="006B4A1C" w:rsidRDefault="006B4A1C" w:rsidP="006B4A1C">
            <w:pPr>
              <w:pStyle w:val="ListParagraph"/>
              <w:ind w:left="0"/>
            </w:pPr>
            <w:r>
              <w:t>(note: icons only, no labels)</w:t>
            </w:r>
          </w:p>
        </w:tc>
        <w:tc>
          <w:tcPr>
            <w:tcW w:w="3597" w:type="dxa"/>
          </w:tcPr>
          <w:p w14:paraId="59E1645F" w14:textId="39CF63E2" w:rsidR="006B4A1C" w:rsidRDefault="006B4A1C" w:rsidP="006B4A1C">
            <w:pPr>
              <w:pStyle w:val="ListParagraph"/>
              <w:ind w:left="0"/>
              <w:jc w:val="center"/>
            </w:pPr>
            <w:r>
              <w:t>Icons are hidden by default.</w:t>
            </w:r>
          </w:p>
          <w:p w14:paraId="1155EF4D" w14:textId="77777777" w:rsidR="006B4A1C" w:rsidRDefault="006B4A1C" w:rsidP="006B4A1C">
            <w:pPr>
              <w:pStyle w:val="ListParagraph"/>
              <w:ind w:left="0"/>
              <w:jc w:val="center"/>
            </w:pPr>
          </w:p>
          <w:p w14:paraId="4CEE7BDA" w14:textId="67A1996B" w:rsidR="006B4A1C" w:rsidRDefault="006B4A1C" w:rsidP="006B4A1C">
            <w:pPr>
              <w:pStyle w:val="ListParagraph"/>
              <w:ind w:left="0"/>
              <w:jc w:val="center"/>
            </w:pPr>
            <w:r>
              <w:rPr>
                <w:noProof/>
              </w:rPr>
              <w:drawing>
                <wp:inline distT="0" distB="0" distL="0" distR="0" wp14:anchorId="0F14C3F5" wp14:editId="2AAE350B">
                  <wp:extent cx="2457450" cy="596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596900"/>
                          </a:xfrm>
                          <a:prstGeom prst="rect">
                            <a:avLst/>
                          </a:prstGeom>
                          <a:noFill/>
                          <a:ln>
                            <a:noFill/>
                          </a:ln>
                        </pic:spPr>
                      </pic:pic>
                    </a:graphicData>
                  </a:graphic>
                </wp:inline>
              </w:drawing>
            </w:r>
          </w:p>
        </w:tc>
      </w:tr>
      <w:tr w:rsidR="006B4A1C" w14:paraId="5B3F2967" w14:textId="77777777" w:rsidTr="006B4A1C">
        <w:trPr>
          <w:jc w:val="center"/>
        </w:trPr>
        <w:tc>
          <w:tcPr>
            <w:tcW w:w="3596" w:type="dxa"/>
          </w:tcPr>
          <w:p w14:paraId="7ADE7DDE" w14:textId="1C417778" w:rsidR="006B4A1C" w:rsidRDefault="006B4A1C" w:rsidP="003624EB">
            <w:pPr>
              <w:pStyle w:val="ListParagraph"/>
              <w:ind w:left="0"/>
              <w:jc w:val="center"/>
            </w:pPr>
            <w:r>
              <w:rPr>
                <w:noProof/>
              </w:rPr>
              <w:drawing>
                <wp:inline distT="0" distB="0" distL="0" distR="0" wp14:anchorId="1690F815" wp14:editId="528A0E07">
                  <wp:extent cx="1752600" cy="3371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2600" cy="3371850"/>
                          </a:xfrm>
                          <a:prstGeom prst="rect">
                            <a:avLst/>
                          </a:prstGeom>
                        </pic:spPr>
                      </pic:pic>
                    </a:graphicData>
                  </a:graphic>
                </wp:inline>
              </w:drawing>
            </w:r>
          </w:p>
        </w:tc>
        <w:tc>
          <w:tcPr>
            <w:tcW w:w="3597" w:type="dxa"/>
          </w:tcPr>
          <w:p w14:paraId="448FA6A8" w14:textId="05870C18" w:rsidR="006B4A1C" w:rsidRDefault="006B4A1C" w:rsidP="003624EB">
            <w:pPr>
              <w:pStyle w:val="ListParagraph"/>
              <w:ind w:left="0"/>
              <w:jc w:val="center"/>
            </w:pPr>
            <w:r>
              <w:rPr>
                <w:noProof/>
              </w:rPr>
              <w:drawing>
                <wp:inline distT="0" distB="0" distL="0" distR="0" wp14:anchorId="28E79D08" wp14:editId="58800B1B">
                  <wp:extent cx="542925" cy="3305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925" cy="3305175"/>
                          </a:xfrm>
                          <a:prstGeom prst="rect">
                            <a:avLst/>
                          </a:prstGeom>
                        </pic:spPr>
                      </pic:pic>
                    </a:graphicData>
                  </a:graphic>
                </wp:inline>
              </w:drawing>
            </w:r>
          </w:p>
        </w:tc>
        <w:tc>
          <w:tcPr>
            <w:tcW w:w="3597" w:type="dxa"/>
          </w:tcPr>
          <w:p w14:paraId="55F9625B" w14:textId="1C2FE4E0" w:rsidR="006B4A1C" w:rsidRDefault="006B4A1C" w:rsidP="006B4A1C">
            <w:pPr>
              <w:pStyle w:val="ListParagraph"/>
              <w:ind w:left="0"/>
            </w:pPr>
            <w:r>
              <w:rPr>
                <w:noProof/>
              </w:rPr>
              <w:drawing>
                <wp:inline distT="0" distB="0" distL="0" distR="0" wp14:anchorId="746C2822" wp14:editId="744C9A7B">
                  <wp:extent cx="2819400" cy="3333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9400" cy="3333750"/>
                          </a:xfrm>
                          <a:prstGeom prst="rect">
                            <a:avLst/>
                          </a:prstGeom>
                        </pic:spPr>
                      </pic:pic>
                    </a:graphicData>
                  </a:graphic>
                </wp:inline>
              </w:drawing>
            </w:r>
          </w:p>
        </w:tc>
      </w:tr>
    </w:tbl>
    <w:p w14:paraId="34D47AC6" w14:textId="77777777" w:rsidR="006B4A1C" w:rsidRDefault="006B4A1C" w:rsidP="006B4A1C">
      <w:pPr>
        <w:pStyle w:val="ListParagraph"/>
      </w:pPr>
    </w:p>
    <w:p w14:paraId="41FEE2F9" w14:textId="461FA665" w:rsidR="00BD0D99" w:rsidRDefault="006B4A1C" w:rsidP="00C01325">
      <w:pPr>
        <w:pStyle w:val="ListParagraph"/>
        <w:numPr>
          <w:ilvl w:val="0"/>
          <w:numId w:val="9"/>
        </w:numPr>
      </w:pPr>
      <w:r>
        <w:lastRenderedPageBreak/>
        <w:t>The content accessed by the icons is rearranged.</w:t>
      </w:r>
      <w:r w:rsidR="00946D1E">
        <w:t xml:space="preserve">  </w:t>
      </w:r>
      <w:r w:rsidR="005E1EA6">
        <w:t>Comparing 11.1.7 (left) to 11.2.3 (right), s</w:t>
      </w:r>
      <w:r w:rsidR="002F14F1">
        <w:t>ome of the</w:t>
      </w:r>
      <w:r w:rsidR="00BD0D99">
        <w:t xml:space="preserve"> icons are relocated </w:t>
      </w:r>
      <w:r w:rsidR="00651FD0">
        <w:t xml:space="preserve">and/or merged </w:t>
      </w:r>
      <w:r w:rsidR="00447E40">
        <w:t>in the new version.   Below is a mapping from the old locations to the new locations.</w:t>
      </w:r>
    </w:p>
    <w:p w14:paraId="1F42F20C" w14:textId="77777777" w:rsidR="00614BCA" w:rsidRDefault="00614BCA" w:rsidP="00614BCA">
      <w:pPr>
        <w:pStyle w:val="ListParagraph"/>
      </w:pPr>
    </w:p>
    <w:p w14:paraId="0C9AD8BE" w14:textId="7FF6EEAB" w:rsidR="00651FD0" w:rsidRDefault="00751672" w:rsidP="00651FD0">
      <w:pPr>
        <w:pStyle w:val="ListParagraph"/>
      </w:pPr>
      <w:r>
        <w:rPr>
          <w:noProof/>
        </w:rPr>
        <w:drawing>
          <wp:inline distT="0" distB="0" distL="0" distR="0" wp14:anchorId="2FB40E30" wp14:editId="5CAA05F3">
            <wp:extent cx="5943600" cy="1809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p>
    <w:p w14:paraId="3F2F1247" w14:textId="0BDD06E3" w:rsidR="0003710E" w:rsidRDefault="0003710E" w:rsidP="00651FD0">
      <w:pPr>
        <w:pStyle w:val="ListParagraph"/>
      </w:pPr>
    </w:p>
    <w:p w14:paraId="54E672F5" w14:textId="6155535A" w:rsidR="004F2ED4" w:rsidRPr="0003710E" w:rsidRDefault="0003710E" w:rsidP="0003710E">
      <w:pPr>
        <w:pStyle w:val="ListParagraph"/>
      </w:pPr>
      <w:r>
        <w:t>Search has moved from the left icon list to the top toolbar.</w:t>
      </w:r>
    </w:p>
    <w:p w14:paraId="122EEB73" w14:textId="5FB6C1CC" w:rsidR="00C01325" w:rsidRDefault="0003710E" w:rsidP="00610D7E">
      <w:pPr>
        <w:ind w:left="720"/>
      </w:pPr>
      <w:r>
        <w:t>The</w:t>
      </w:r>
      <w:r w:rsidR="00C01325">
        <w:t xml:space="preserve"> 3 separate icons for </w:t>
      </w:r>
      <w:r w:rsidR="00C01325" w:rsidRPr="00EF19A7">
        <w:rPr>
          <w:b/>
        </w:rPr>
        <w:t>My Content</w:t>
      </w:r>
      <w:r w:rsidR="00C01325">
        <w:t xml:space="preserve">, </w:t>
      </w:r>
      <w:r w:rsidR="00C01325" w:rsidRPr="00EF19A7">
        <w:rPr>
          <w:b/>
        </w:rPr>
        <w:t>Team Content</w:t>
      </w:r>
      <w:r w:rsidR="00C01325">
        <w:t xml:space="preserve">, and </w:t>
      </w:r>
      <w:r w:rsidR="00EF19A7" w:rsidRPr="00EF19A7">
        <w:rPr>
          <w:b/>
        </w:rPr>
        <w:t xml:space="preserve">My </w:t>
      </w:r>
      <w:r w:rsidR="00C01325" w:rsidRPr="00EF19A7">
        <w:rPr>
          <w:b/>
        </w:rPr>
        <w:t>Portal Pages</w:t>
      </w:r>
      <w:r w:rsidR="00C01325">
        <w:t xml:space="preserve"> in 11.1.7 are represented by a single icon </w:t>
      </w:r>
      <w:r w:rsidR="00EF19A7" w:rsidRPr="004D2F40">
        <w:rPr>
          <w:b/>
        </w:rPr>
        <w:t>Content</w:t>
      </w:r>
      <w:r w:rsidR="00EF19A7">
        <w:t xml:space="preserve"> in 11.2.3.    If you click the </w:t>
      </w:r>
      <w:r w:rsidR="004D2F40" w:rsidRPr="004D2F40">
        <w:rPr>
          <w:b/>
        </w:rPr>
        <w:t>Content</w:t>
      </w:r>
      <w:r w:rsidR="004D2F40">
        <w:t xml:space="preserve"> </w:t>
      </w:r>
      <w:r w:rsidR="00EF19A7">
        <w:t xml:space="preserve">icon it opens the </w:t>
      </w:r>
      <w:r w:rsidR="00EF19A7" w:rsidRPr="004D2F40">
        <w:rPr>
          <w:b/>
        </w:rPr>
        <w:t>Content</w:t>
      </w:r>
      <w:r w:rsidR="00EF19A7">
        <w:t xml:space="preserve"> folder where </w:t>
      </w:r>
      <w:r w:rsidR="00EF19A7" w:rsidRPr="00EF19A7">
        <w:rPr>
          <w:b/>
        </w:rPr>
        <w:t>My Content</w:t>
      </w:r>
      <w:r w:rsidR="00EF19A7">
        <w:t xml:space="preserve">, </w:t>
      </w:r>
      <w:r w:rsidR="00EF19A7" w:rsidRPr="00EF19A7">
        <w:rPr>
          <w:b/>
        </w:rPr>
        <w:t>Team Content</w:t>
      </w:r>
      <w:r w:rsidR="00EF19A7">
        <w:t xml:space="preserve">, and </w:t>
      </w:r>
      <w:r w:rsidR="00EF19A7" w:rsidRPr="00EF19A7">
        <w:rPr>
          <w:b/>
        </w:rPr>
        <w:t>My Portal Pages</w:t>
      </w:r>
      <w:r w:rsidR="00EF19A7">
        <w:t xml:space="preserve"> appear as tabs.</w:t>
      </w:r>
      <w:r w:rsidR="00871DC8">
        <w:t xml:space="preserve">  Click on the tab to access content under it.</w:t>
      </w:r>
    </w:p>
    <w:p w14:paraId="466CA633" w14:textId="3C86364B" w:rsidR="00EF19A7" w:rsidRDefault="00EF19A7" w:rsidP="00C01325">
      <w:r>
        <w:rPr>
          <w:noProof/>
        </w:rPr>
        <w:drawing>
          <wp:inline distT="0" distB="0" distL="0" distR="0" wp14:anchorId="03DDB3BE" wp14:editId="244EE8CC">
            <wp:extent cx="6638925" cy="20383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38925" cy="2038350"/>
                    </a:xfrm>
                    <a:prstGeom prst="rect">
                      <a:avLst/>
                    </a:prstGeom>
                  </pic:spPr>
                </pic:pic>
              </a:graphicData>
            </a:graphic>
          </wp:inline>
        </w:drawing>
      </w:r>
    </w:p>
    <w:p w14:paraId="46544B72" w14:textId="5F70344E" w:rsidR="00EF19A7" w:rsidRDefault="00EF19A7" w:rsidP="00C01325"/>
    <w:p w14:paraId="6E9377D7" w14:textId="1F6436BD" w:rsidR="00871DC8" w:rsidRDefault="00871DC8" w:rsidP="00C01325">
      <w:r>
        <w:t>Instead of a folder/list structure like 11.1.7, folders and folder content are shown in a grid format in 11.2.3, however, clicking on the grid item acts the same as clicking on a folder/list item.    The action menu which appears as a horizontal ellipsis (…) in 11.1.7 appears as a vertical ellipsis (stack of 3 dots)</w:t>
      </w:r>
      <w:r w:rsidR="001B1F13">
        <w:t xml:space="preserve"> in 11.2.3</w:t>
      </w:r>
      <w:r w:rsidR="00047EA7">
        <w:t xml:space="preserve"> when you move your cursor into the boxes that display below each content tab</w:t>
      </w:r>
      <w:r w:rsidR="001B1F13">
        <w:t>.</w:t>
      </w:r>
    </w:p>
    <w:p w14:paraId="1D829F86" w14:textId="77777777" w:rsidR="00871DC8" w:rsidRDefault="00871DC8" w:rsidP="00C01325"/>
    <w:p w14:paraId="1AE2A67E" w14:textId="77777777" w:rsidR="00436BDA" w:rsidRDefault="00436BDA">
      <w:r>
        <w:br w:type="page"/>
      </w:r>
    </w:p>
    <w:p w14:paraId="38E26705" w14:textId="46EC12BA" w:rsidR="009E0398" w:rsidRDefault="00436BDA" w:rsidP="00436BDA">
      <w:pPr>
        <w:pStyle w:val="Heading1"/>
        <w:jc w:val="center"/>
      </w:pPr>
      <w:r w:rsidRPr="00436BDA">
        <w:lastRenderedPageBreak/>
        <w:t>Developer Changes / Differences</w:t>
      </w:r>
    </w:p>
    <w:p w14:paraId="69974102" w14:textId="6AA5E8F4" w:rsidR="00436BDA" w:rsidRDefault="00436BDA" w:rsidP="00436BDA"/>
    <w:p w14:paraId="66C58527" w14:textId="77777777" w:rsidR="00F65130" w:rsidRDefault="001B1F13" w:rsidP="00F65130">
      <w:r>
        <w:t xml:space="preserve">The changes to the development environment are more extensive but </w:t>
      </w:r>
      <w:r w:rsidR="006368B2">
        <w:t xml:space="preserve">it is </w:t>
      </w:r>
      <w:r>
        <w:t>still familiar.    It is the same information presented</w:t>
      </w:r>
      <w:r w:rsidR="00112C06">
        <w:t xml:space="preserve"> / grouped</w:t>
      </w:r>
      <w:r>
        <w:t xml:space="preserve"> slightly differently.   Icons have changed, however, as before, hovering over any icon will cause its label / function to appear.</w:t>
      </w:r>
    </w:p>
    <w:p w14:paraId="79E6C2D0" w14:textId="12DA9652" w:rsidR="00436BDA" w:rsidRPr="00F65130" w:rsidRDefault="00436BDA" w:rsidP="00F65130">
      <w:pPr>
        <w:pStyle w:val="ListParagraph"/>
        <w:numPr>
          <w:ilvl w:val="0"/>
          <w:numId w:val="10"/>
        </w:numPr>
      </w:pPr>
      <w:r w:rsidRPr="00F65130">
        <w:t>To create</w:t>
      </w:r>
      <w:r>
        <w:t xml:space="preserve"> a new report, instead of clicking New (+), then choosing report, you must click Home</w:t>
      </w:r>
      <w:r w:rsidR="009E46B6">
        <w:t xml:space="preserve"> from the menu</w:t>
      </w:r>
      <w:r>
        <w:t>, then New, then Report.</w:t>
      </w:r>
      <w:r w:rsidR="004338E6">
        <w:t xml:space="preserve">  </w:t>
      </w:r>
    </w:p>
    <w:p w14:paraId="7A37B2DC" w14:textId="77777777" w:rsidR="00742386" w:rsidRDefault="00742386" w:rsidP="00742386">
      <w:pPr>
        <w:pStyle w:val="ListParagraph"/>
        <w:rPr>
          <w:highlight w:val="yellow"/>
        </w:rPr>
      </w:pPr>
    </w:p>
    <w:tbl>
      <w:tblPr>
        <w:tblStyle w:val="TableGrid"/>
        <w:tblW w:w="10435" w:type="dxa"/>
        <w:tblInd w:w="720" w:type="dxa"/>
        <w:tblLook w:val="04A0" w:firstRow="1" w:lastRow="0" w:firstColumn="1" w:lastColumn="0" w:noHBand="0" w:noVBand="1"/>
      </w:tblPr>
      <w:tblGrid>
        <w:gridCol w:w="1345"/>
        <w:gridCol w:w="9090"/>
      </w:tblGrid>
      <w:tr w:rsidR="00E84003" w14:paraId="09CDF28F" w14:textId="77777777" w:rsidTr="00E84003">
        <w:tc>
          <w:tcPr>
            <w:tcW w:w="1345" w:type="dxa"/>
          </w:tcPr>
          <w:p w14:paraId="612C674F" w14:textId="1409108F" w:rsidR="00742386" w:rsidRDefault="00742386" w:rsidP="00E84003">
            <w:pPr>
              <w:pStyle w:val="ListParagraph"/>
              <w:ind w:left="0"/>
              <w:jc w:val="center"/>
              <w:rPr>
                <w:highlight w:val="yellow"/>
              </w:rPr>
            </w:pPr>
            <w:r w:rsidRPr="00742386">
              <w:t>In version 11.1.7</w:t>
            </w:r>
          </w:p>
        </w:tc>
        <w:tc>
          <w:tcPr>
            <w:tcW w:w="9090" w:type="dxa"/>
          </w:tcPr>
          <w:p w14:paraId="7F84195D" w14:textId="28BEED93" w:rsidR="00742386" w:rsidRDefault="00742386" w:rsidP="00E84003">
            <w:pPr>
              <w:pStyle w:val="ListParagraph"/>
              <w:ind w:left="0"/>
              <w:jc w:val="center"/>
              <w:rPr>
                <w:highlight w:val="yellow"/>
              </w:rPr>
            </w:pPr>
            <w:r>
              <w:rPr>
                <w:noProof/>
                <w:highlight w:val="yellow"/>
              </w:rPr>
              <w:drawing>
                <wp:inline distT="0" distB="0" distL="0" distR="0" wp14:anchorId="4F3CE947" wp14:editId="22B22EED">
                  <wp:extent cx="4371975" cy="3467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3467100"/>
                          </a:xfrm>
                          <a:prstGeom prst="rect">
                            <a:avLst/>
                          </a:prstGeom>
                          <a:noFill/>
                          <a:ln>
                            <a:noFill/>
                          </a:ln>
                        </pic:spPr>
                      </pic:pic>
                    </a:graphicData>
                  </a:graphic>
                </wp:inline>
              </w:drawing>
            </w:r>
          </w:p>
        </w:tc>
      </w:tr>
      <w:tr w:rsidR="00E84003" w14:paraId="3691548D" w14:textId="77777777" w:rsidTr="00E84003">
        <w:tc>
          <w:tcPr>
            <w:tcW w:w="1345" w:type="dxa"/>
          </w:tcPr>
          <w:p w14:paraId="3CDF0F79" w14:textId="5D898836" w:rsidR="00742386" w:rsidRDefault="00742386" w:rsidP="00E84003">
            <w:pPr>
              <w:pStyle w:val="ListParagraph"/>
              <w:ind w:left="0"/>
              <w:jc w:val="center"/>
              <w:rPr>
                <w:highlight w:val="yellow"/>
              </w:rPr>
            </w:pPr>
            <w:r w:rsidRPr="00742386">
              <w:t>In version 11.2.3</w:t>
            </w:r>
          </w:p>
        </w:tc>
        <w:tc>
          <w:tcPr>
            <w:tcW w:w="9090" w:type="dxa"/>
          </w:tcPr>
          <w:p w14:paraId="54615F49" w14:textId="258CE5A9" w:rsidR="00742386" w:rsidRDefault="00742386" w:rsidP="00742386">
            <w:pPr>
              <w:pStyle w:val="ListParagraph"/>
              <w:ind w:left="0"/>
              <w:rPr>
                <w:highlight w:val="yellow"/>
              </w:rPr>
            </w:pPr>
            <w:r>
              <w:rPr>
                <w:noProof/>
                <w:highlight w:val="yellow"/>
              </w:rPr>
              <w:drawing>
                <wp:inline distT="0" distB="0" distL="0" distR="0" wp14:anchorId="79AA68B5" wp14:editId="5B5C6CDA">
                  <wp:extent cx="5581650" cy="2533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2533650"/>
                          </a:xfrm>
                          <a:prstGeom prst="rect">
                            <a:avLst/>
                          </a:prstGeom>
                          <a:noFill/>
                          <a:ln>
                            <a:noFill/>
                          </a:ln>
                        </pic:spPr>
                      </pic:pic>
                    </a:graphicData>
                  </a:graphic>
                </wp:inline>
              </w:drawing>
            </w:r>
          </w:p>
        </w:tc>
      </w:tr>
    </w:tbl>
    <w:p w14:paraId="03ABA935" w14:textId="77777777" w:rsidR="003B76E5" w:rsidRPr="004338E6" w:rsidRDefault="003B76E5" w:rsidP="00742386">
      <w:pPr>
        <w:pStyle w:val="ListParagraph"/>
        <w:rPr>
          <w:highlight w:val="yellow"/>
        </w:rPr>
      </w:pPr>
    </w:p>
    <w:p w14:paraId="4A3DB49F" w14:textId="77777777" w:rsidR="003E78D9" w:rsidRDefault="003E78D9" w:rsidP="003E78D9">
      <w:pPr>
        <w:pStyle w:val="ListParagraph"/>
      </w:pPr>
    </w:p>
    <w:p w14:paraId="11CAC8AD" w14:textId="6B0BA5EE" w:rsidR="00436BDA" w:rsidRDefault="0034415A" w:rsidP="00F65130">
      <w:pPr>
        <w:pStyle w:val="ListParagraph"/>
        <w:numPr>
          <w:ilvl w:val="0"/>
          <w:numId w:val="11"/>
        </w:numPr>
      </w:pPr>
      <w:r>
        <w:t>The p</w:t>
      </w:r>
      <w:r w:rsidR="00436BDA">
        <w:t xml:space="preserve">age heading is slightly different.    </w:t>
      </w:r>
      <w:r w:rsidR="00C74152">
        <w:t xml:space="preserve">The </w:t>
      </w:r>
      <w:r w:rsidR="00436BDA">
        <w:t xml:space="preserve">Ok / Cancel </w:t>
      </w:r>
      <w:r w:rsidR="001D79A9">
        <w:t xml:space="preserve">buttons </w:t>
      </w:r>
      <w:r w:rsidR="005A2AD5">
        <w:t xml:space="preserve">at the bottom right </w:t>
      </w:r>
      <w:r w:rsidR="00641CB3">
        <w:t xml:space="preserve">are now </w:t>
      </w:r>
      <w:r w:rsidR="00436BDA">
        <w:t xml:space="preserve">Cancel / Create </w:t>
      </w:r>
      <w:r w:rsidR="001D79A9">
        <w:t xml:space="preserve">buttons </w:t>
      </w:r>
      <w:r w:rsidR="00436BDA">
        <w:t>in the top right.</w:t>
      </w:r>
    </w:p>
    <w:p w14:paraId="0C9C6D5E" w14:textId="55A5C1F2" w:rsidR="00436BDA" w:rsidRDefault="00436BDA" w:rsidP="00AE2ADF">
      <w:pPr>
        <w:ind w:left="360"/>
        <w:jc w:val="center"/>
      </w:pPr>
      <w:r>
        <w:rPr>
          <w:noProof/>
        </w:rPr>
        <w:lastRenderedPageBreak/>
        <w:drawing>
          <wp:inline distT="0" distB="0" distL="0" distR="0" wp14:anchorId="6BA43A13" wp14:editId="020003FD">
            <wp:extent cx="5943600" cy="1684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684020"/>
                    </a:xfrm>
                    <a:prstGeom prst="rect">
                      <a:avLst/>
                    </a:prstGeom>
                  </pic:spPr>
                </pic:pic>
              </a:graphicData>
            </a:graphic>
          </wp:inline>
        </w:drawing>
      </w:r>
    </w:p>
    <w:p w14:paraId="530E543B" w14:textId="0C6AC3BA" w:rsidR="00436BDA" w:rsidRDefault="00436BDA" w:rsidP="00F65130">
      <w:pPr>
        <w:pStyle w:val="ListParagraph"/>
        <w:numPr>
          <w:ilvl w:val="0"/>
          <w:numId w:val="11"/>
        </w:numPr>
      </w:pPr>
      <w:r>
        <w:t xml:space="preserve">When selecting a source, </w:t>
      </w:r>
      <w:r w:rsidR="00E03B3A" w:rsidRPr="00E03B3A">
        <w:rPr>
          <w:b/>
        </w:rPr>
        <w:t>T</w:t>
      </w:r>
      <w:r w:rsidRPr="00E03B3A">
        <w:rPr>
          <w:b/>
        </w:rPr>
        <w:t xml:space="preserve">eam </w:t>
      </w:r>
      <w:r w:rsidR="00E03B3A" w:rsidRPr="00E03B3A">
        <w:rPr>
          <w:b/>
        </w:rPr>
        <w:t>C</w:t>
      </w:r>
      <w:r w:rsidRPr="00E03B3A">
        <w:rPr>
          <w:b/>
        </w:rPr>
        <w:t>ontent</w:t>
      </w:r>
      <w:r>
        <w:t xml:space="preserve"> and </w:t>
      </w:r>
      <w:r w:rsidR="00E03B3A">
        <w:rPr>
          <w:b/>
        </w:rPr>
        <w:t>M</w:t>
      </w:r>
      <w:r w:rsidRPr="00E03B3A">
        <w:rPr>
          <w:b/>
        </w:rPr>
        <w:t xml:space="preserve">y </w:t>
      </w:r>
      <w:r w:rsidR="00E03B3A">
        <w:rPr>
          <w:b/>
        </w:rPr>
        <w:t>C</w:t>
      </w:r>
      <w:r w:rsidRPr="00E03B3A">
        <w:rPr>
          <w:b/>
        </w:rPr>
        <w:t>ontent</w:t>
      </w:r>
      <w:r>
        <w:t xml:space="preserve"> move from left vertical tabs to “overhead” tabs.   </w:t>
      </w:r>
      <w:r w:rsidR="003E78D9">
        <w:t xml:space="preserve">The </w:t>
      </w:r>
      <w:r w:rsidR="00E03B3A" w:rsidRPr="00E03B3A">
        <w:rPr>
          <w:b/>
        </w:rPr>
        <w:t>O</w:t>
      </w:r>
      <w:r w:rsidRPr="00E03B3A">
        <w:rPr>
          <w:b/>
        </w:rPr>
        <w:t>pen</w:t>
      </w:r>
      <w:r>
        <w:t xml:space="preserve"> and </w:t>
      </w:r>
      <w:r w:rsidR="00E03B3A">
        <w:rPr>
          <w:b/>
        </w:rPr>
        <w:t>C</w:t>
      </w:r>
      <w:r w:rsidRPr="00E03B3A">
        <w:rPr>
          <w:b/>
        </w:rPr>
        <w:t>ancel</w:t>
      </w:r>
      <w:r>
        <w:t xml:space="preserve"> buttons </w:t>
      </w:r>
      <w:r w:rsidR="002241C5">
        <w:t>are now bigger and in a different order</w:t>
      </w:r>
      <w:r w:rsidR="00E03B3A">
        <w:t>.</w:t>
      </w:r>
    </w:p>
    <w:p w14:paraId="1B381B6A" w14:textId="77777777" w:rsidR="00FD679F" w:rsidRDefault="00FD679F" w:rsidP="00FD679F">
      <w:pPr>
        <w:pStyle w:val="ListParagraph"/>
      </w:pPr>
    </w:p>
    <w:p w14:paraId="73535312" w14:textId="456B2E04" w:rsidR="000E7F25" w:rsidRDefault="00FD679F" w:rsidP="00E03B3A">
      <w:pPr>
        <w:pStyle w:val="ListParagraph"/>
        <w:jc w:val="center"/>
      </w:pPr>
      <w:r>
        <w:rPr>
          <w:noProof/>
        </w:rPr>
        <w:drawing>
          <wp:inline distT="0" distB="0" distL="0" distR="0" wp14:anchorId="3484F38E" wp14:editId="779795BA">
            <wp:extent cx="5943600" cy="2529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529840"/>
                    </a:xfrm>
                    <a:prstGeom prst="rect">
                      <a:avLst/>
                    </a:prstGeom>
                  </pic:spPr>
                </pic:pic>
              </a:graphicData>
            </a:graphic>
          </wp:inline>
        </w:drawing>
      </w:r>
    </w:p>
    <w:p w14:paraId="3BD1307C" w14:textId="77777777" w:rsidR="00E03B3A" w:rsidRDefault="00E03B3A" w:rsidP="00E03B3A">
      <w:pPr>
        <w:pStyle w:val="ListParagraph"/>
        <w:jc w:val="center"/>
      </w:pPr>
    </w:p>
    <w:p w14:paraId="43ED03AA" w14:textId="326E0873" w:rsidR="000E7F25" w:rsidRDefault="00E03B3A" w:rsidP="00F65130">
      <w:pPr>
        <w:pStyle w:val="ListParagraph"/>
        <w:numPr>
          <w:ilvl w:val="0"/>
          <w:numId w:val="11"/>
        </w:numPr>
      </w:pPr>
      <w:r>
        <w:t>The i</w:t>
      </w:r>
      <w:r w:rsidR="00F827DF">
        <w:t xml:space="preserve">cons change slightly </w:t>
      </w:r>
      <w:r w:rsidR="00AC6226">
        <w:t>when adding things to a report page</w:t>
      </w:r>
      <w:r w:rsidR="001D79A9">
        <w:t>.</w:t>
      </w:r>
      <w:r w:rsidR="00B52DCC">
        <w:t xml:space="preserve">    </w:t>
      </w:r>
    </w:p>
    <w:p w14:paraId="30D6285E" w14:textId="77777777" w:rsidR="004835F2" w:rsidRDefault="004835F2" w:rsidP="004835F2">
      <w:pPr>
        <w:pStyle w:val="ListParagraph"/>
      </w:pPr>
    </w:p>
    <w:p w14:paraId="516A3EEC" w14:textId="794F9094" w:rsidR="004835F2" w:rsidRDefault="004835F2" w:rsidP="004835F2">
      <w:pPr>
        <w:pStyle w:val="ListParagraph"/>
      </w:pPr>
      <w:r>
        <w:rPr>
          <w:noProof/>
        </w:rPr>
        <w:t>The same functions exist.   The icons are recognizeable but some are relocated.   For example, the filter and group/ungroup icons are in a different location.    As always, you can hover over an icon to see what it does.  One consistent change is that the three dots of an ellipsis go from being in a horizontal row to a vertical column representing “more”.</w:t>
      </w:r>
    </w:p>
    <w:p w14:paraId="3B5D2209" w14:textId="1FB205AA" w:rsidR="004835F2" w:rsidRDefault="004835F2" w:rsidP="004835F2">
      <w:pPr>
        <w:pStyle w:val="ListParagraph"/>
      </w:pPr>
    </w:p>
    <w:p w14:paraId="0B901C0F" w14:textId="0E2F887C" w:rsidR="004835F2" w:rsidRDefault="004835F2" w:rsidP="004835F2">
      <w:pPr>
        <w:pStyle w:val="ListParagraph"/>
      </w:pPr>
    </w:p>
    <w:p w14:paraId="4347D12D" w14:textId="14CB5A5F" w:rsidR="004835F2" w:rsidRDefault="004835F2" w:rsidP="004835F2">
      <w:pPr>
        <w:pStyle w:val="ListParagraph"/>
      </w:pPr>
    </w:p>
    <w:p w14:paraId="58569F71" w14:textId="77777777" w:rsidR="004835F2" w:rsidRDefault="004835F2" w:rsidP="004835F2">
      <w:pPr>
        <w:pStyle w:val="ListParagraph"/>
      </w:pPr>
    </w:p>
    <w:p w14:paraId="74F5428F" w14:textId="7718A126" w:rsidR="001D79A9" w:rsidRDefault="00AC6226" w:rsidP="00B52DCC">
      <w:pPr>
        <w:pStyle w:val="ListParagraph"/>
      </w:pPr>
      <w:r>
        <w:rPr>
          <w:noProof/>
        </w:rPr>
        <w:lastRenderedPageBreak/>
        <w:drawing>
          <wp:inline distT="0" distB="0" distL="0" distR="0" wp14:anchorId="0F7A47CC" wp14:editId="072B7329">
            <wp:extent cx="5943600" cy="25247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524760"/>
                    </a:xfrm>
                    <a:prstGeom prst="rect">
                      <a:avLst/>
                    </a:prstGeom>
                  </pic:spPr>
                </pic:pic>
              </a:graphicData>
            </a:graphic>
          </wp:inline>
        </w:drawing>
      </w:r>
    </w:p>
    <w:p w14:paraId="06EB1F33" w14:textId="77777777" w:rsidR="00B52DCC" w:rsidRDefault="00B52DCC" w:rsidP="00B52DCC">
      <w:pPr>
        <w:pStyle w:val="ListParagraph"/>
      </w:pPr>
    </w:p>
    <w:p w14:paraId="70EDB6E9" w14:textId="0553B33E" w:rsidR="00AC6226" w:rsidRDefault="00B209E4" w:rsidP="00F65130">
      <w:pPr>
        <w:pStyle w:val="ListParagraph"/>
        <w:numPr>
          <w:ilvl w:val="0"/>
          <w:numId w:val="11"/>
        </w:numPr>
      </w:pPr>
      <w:r>
        <w:t>The v</w:t>
      </w:r>
      <w:r w:rsidR="00AC6226">
        <w:t>iew of items under Sources is identical.</w:t>
      </w:r>
      <w:r w:rsidR="000E7F25">
        <w:t xml:space="preserve">   Icons representing types of data, etc</w:t>
      </w:r>
      <w:r w:rsidR="00D374B2">
        <w:t>.</w:t>
      </w:r>
      <w:r w:rsidR="000E7F25">
        <w:t xml:space="preserve"> do not change.</w:t>
      </w:r>
    </w:p>
    <w:p w14:paraId="7F850C89" w14:textId="77777777" w:rsidR="000E7F25" w:rsidRDefault="000E7F25" w:rsidP="000E7F25">
      <w:pPr>
        <w:pStyle w:val="ListParagraph"/>
      </w:pPr>
    </w:p>
    <w:p w14:paraId="3F2D2F81" w14:textId="1B88FC12" w:rsidR="00AC6226" w:rsidRDefault="005A372F" w:rsidP="00F65130">
      <w:pPr>
        <w:pStyle w:val="ListParagraph"/>
        <w:numPr>
          <w:ilvl w:val="0"/>
          <w:numId w:val="11"/>
        </w:numPr>
      </w:pPr>
      <w:r>
        <w:t>The d</w:t>
      </w:r>
      <w:r w:rsidR="00AC6226">
        <w:t xml:space="preserve">efault view of insertable items (toolbox) changes from </w:t>
      </w:r>
      <w:r w:rsidR="00D54D33">
        <w:t xml:space="preserve">a </w:t>
      </w:r>
      <w:r w:rsidR="00AC6226">
        <w:t>list to icons: click the “4 box square” to get a list of selections in 11.2.3.</w:t>
      </w:r>
    </w:p>
    <w:p w14:paraId="39F0B0AF" w14:textId="77777777" w:rsidR="00FF555E" w:rsidRDefault="00FF555E" w:rsidP="00FF555E">
      <w:pPr>
        <w:pStyle w:val="ListParagraph"/>
      </w:pPr>
    </w:p>
    <w:p w14:paraId="1FD4679B" w14:textId="1E49816F" w:rsidR="00B977BC" w:rsidRPr="00B977BC" w:rsidRDefault="00FF555E" w:rsidP="00B977BC">
      <w:pPr>
        <w:pStyle w:val="ListParagraph"/>
        <w:numPr>
          <w:ilvl w:val="0"/>
          <w:numId w:val="11"/>
        </w:numPr>
      </w:pPr>
      <w:r w:rsidRPr="00B977BC">
        <w:t xml:space="preserve">When </w:t>
      </w:r>
      <w:r w:rsidR="003A2A93" w:rsidRPr="00B977BC">
        <w:t>creating a report, i</w:t>
      </w:r>
      <w:r w:rsidR="00B977BC" w:rsidRPr="00B977BC">
        <w:t>n</w:t>
      </w:r>
      <w:r w:rsidR="003A2A93" w:rsidRPr="00B977BC">
        <w:t xml:space="preserve"> 11.2.3 </w:t>
      </w:r>
      <w:r w:rsidR="00B977BC" w:rsidRPr="00B977BC">
        <w:t>you should</w:t>
      </w:r>
      <w:r w:rsidR="003A2A93" w:rsidRPr="00B977BC">
        <w:t xml:space="preserve"> click the “+” and choose the type of container for your report – list, chart, etc.   11.1.7 </w:t>
      </w:r>
      <w:r w:rsidR="00017121" w:rsidRPr="00B977BC">
        <w:t xml:space="preserve">creates a list object </w:t>
      </w:r>
      <w:r w:rsidR="003A2A93" w:rsidRPr="00B977BC">
        <w:t xml:space="preserve">for you by default.   </w:t>
      </w:r>
      <w:r w:rsidR="00B977BC">
        <w:t xml:space="preserve">11.2.3 often “generates a recommendation”, which amounts to guessing the sort of object you want which may be a visualization </w:t>
      </w:r>
      <w:r w:rsidR="00BE4ABA">
        <w:t xml:space="preserve">(example: pie chart) </w:t>
      </w:r>
      <w:r w:rsidR="00B977BC">
        <w:t>or crosstab instead of a list.   If that happens, you can click Undo, then click the “+” and choose the report type before adding data fields to it.</w:t>
      </w:r>
    </w:p>
    <w:p w14:paraId="548E54DA" w14:textId="77777777" w:rsidR="00F216F7" w:rsidRDefault="00F216F7" w:rsidP="00F216F7">
      <w:pPr>
        <w:pStyle w:val="ListParagraph"/>
      </w:pPr>
    </w:p>
    <w:p w14:paraId="351DD558" w14:textId="5604831B" w:rsidR="00F216F7" w:rsidRPr="00436BDA" w:rsidRDefault="00F216F7" w:rsidP="00F65130">
      <w:pPr>
        <w:pStyle w:val="ListParagraph"/>
        <w:numPr>
          <w:ilvl w:val="0"/>
          <w:numId w:val="11"/>
        </w:numPr>
      </w:pPr>
      <w:r>
        <w:t xml:space="preserve">We recommend maximizing </w:t>
      </w:r>
      <w:r w:rsidR="00FA3062">
        <w:t xml:space="preserve">the </w:t>
      </w:r>
      <w:r>
        <w:t>width of the report on your screen.   In 11.2.3, the “more” button where the selections like “Build Prompt Page” can be difficult to find if the window is narrow.</w:t>
      </w:r>
      <w:r w:rsidR="00206A49">
        <w:t xml:space="preserve"> You can also click on the Show Properties button to minimize the Properties section on the right to find the “more” button.</w:t>
      </w:r>
      <w:bookmarkStart w:id="0" w:name="_GoBack"/>
      <w:bookmarkEnd w:id="0"/>
    </w:p>
    <w:sectPr w:rsidR="00F216F7" w:rsidRPr="00436BDA" w:rsidSect="002F14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CA5"/>
    <w:multiLevelType w:val="hybridMultilevel"/>
    <w:tmpl w:val="372E6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5CAF"/>
    <w:multiLevelType w:val="hybridMultilevel"/>
    <w:tmpl w:val="E80476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C2152"/>
    <w:multiLevelType w:val="hybridMultilevel"/>
    <w:tmpl w:val="986AA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81E96"/>
    <w:multiLevelType w:val="hybridMultilevel"/>
    <w:tmpl w:val="44E2DEF4"/>
    <w:lvl w:ilvl="0" w:tplc="5DDC16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17AED"/>
    <w:multiLevelType w:val="hybridMultilevel"/>
    <w:tmpl w:val="3974A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745DB"/>
    <w:multiLevelType w:val="hybridMultilevel"/>
    <w:tmpl w:val="809A0B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357C9"/>
    <w:multiLevelType w:val="hybridMultilevel"/>
    <w:tmpl w:val="56DCA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935AE3"/>
    <w:multiLevelType w:val="hybridMultilevel"/>
    <w:tmpl w:val="237A4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95A06"/>
    <w:multiLevelType w:val="hybridMultilevel"/>
    <w:tmpl w:val="1B107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F019F"/>
    <w:multiLevelType w:val="hybridMultilevel"/>
    <w:tmpl w:val="A678CE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B75E7"/>
    <w:multiLevelType w:val="hybridMultilevel"/>
    <w:tmpl w:val="7FDEDE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2"/>
  </w:num>
  <w:num w:numId="6">
    <w:abstractNumId w:val="9"/>
  </w:num>
  <w:num w:numId="7">
    <w:abstractNumId w:val="10"/>
  </w:num>
  <w:num w:numId="8">
    <w:abstractNumId w:val="8"/>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3B7"/>
    <w:rsid w:val="000062A8"/>
    <w:rsid w:val="00017121"/>
    <w:rsid w:val="00023BF8"/>
    <w:rsid w:val="0003710E"/>
    <w:rsid w:val="00047EA7"/>
    <w:rsid w:val="000503B7"/>
    <w:rsid w:val="00081BBD"/>
    <w:rsid w:val="00084D10"/>
    <w:rsid w:val="000C7DB2"/>
    <w:rsid w:val="000E7F25"/>
    <w:rsid w:val="000F4880"/>
    <w:rsid w:val="001019F3"/>
    <w:rsid w:val="0010541B"/>
    <w:rsid w:val="00112C06"/>
    <w:rsid w:val="00115665"/>
    <w:rsid w:val="00124E33"/>
    <w:rsid w:val="0014156C"/>
    <w:rsid w:val="00145391"/>
    <w:rsid w:val="00191CA3"/>
    <w:rsid w:val="00197D3D"/>
    <w:rsid w:val="001A24A2"/>
    <w:rsid w:val="001A4C9C"/>
    <w:rsid w:val="001B1F13"/>
    <w:rsid w:val="001D79A9"/>
    <w:rsid w:val="00206A49"/>
    <w:rsid w:val="00215D24"/>
    <w:rsid w:val="002241C5"/>
    <w:rsid w:val="00243186"/>
    <w:rsid w:val="00243EDE"/>
    <w:rsid w:val="002826FC"/>
    <w:rsid w:val="002871F5"/>
    <w:rsid w:val="002934D3"/>
    <w:rsid w:val="002A45A9"/>
    <w:rsid w:val="002A4820"/>
    <w:rsid w:val="002D5C4E"/>
    <w:rsid w:val="002F14F1"/>
    <w:rsid w:val="00342BDC"/>
    <w:rsid w:val="0034415A"/>
    <w:rsid w:val="003624EB"/>
    <w:rsid w:val="00363161"/>
    <w:rsid w:val="00381017"/>
    <w:rsid w:val="00386D98"/>
    <w:rsid w:val="003A2A93"/>
    <w:rsid w:val="003B76E5"/>
    <w:rsid w:val="003C00AF"/>
    <w:rsid w:val="003C115B"/>
    <w:rsid w:val="003D06B3"/>
    <w:rsid w:val="003D48D0"/>
    <w:rsid w:val="003E78D9"/>
    <w:rsid w:val="00414A5D"/>
    <w:rsid w:val="004338E6"/>
    <w:rsid w:val="00436BDA"/>
    <w:rsid w:val="00441455"/>
    <w:rsid w:val="00444FE0"/>
    <w:rsid w:val="00445952"/>
    <w:rsid w:val="00447E40"/>
    <w:rsid w:val="00482AC3"/>
    <w:rsid w:val="004835F2"/>
    <w:rsid w:val="004C7799"/>
    <w:rsid w:val="004D2F40"/>
    <w:rsid w:val="004F2ED4"/>
    <w:rsid w:val="005423B5"/>
    <w:rsid w:val="00545219"/>
    <w:rsid w:val="00581E41"/>
    <w:rsid w:val="0058417C"/>
    <w:rsid w:val="0059483E"/>
    <w:rsid w:val="005A2AD5"/>
    <w:rsid w:val="005A372F"/>
    <w:rsid w:val="005A49EE"/>
    <w:rsid w:val="005C78FE"/>
    <w:rsid w:val="005E1EA6"/>
    <w:rsid w:val="00600E74"/>
    <w:rsid w:val="00610D7E"/>
    <w:rsid w:val="006110B2"/>
    <w:rsid w:val="00614BCA"/>
    <w:rsid w:val="006321DF"/>
    <w:rsid w:val="006368B2"/>
    <w:rsid w:val="00641CB3"/>
    <w:rsid w:val="00651FD0"/>
    <w:rsid w:val="006807BA"/>
    <w:rsid w:val="006815AA"/>
    <w:rsid w:val="00696F90"/>
    <w:rsid w:val="006A16B6"/>
    <w:rsid w:val="006B4A1C"/>
    <w:rsid w:val="006C5245"/>
    <w:rsid w:val="00723F85"/>
    <w:rsid w:val="00742386"/>
    <w:rsid w:val="00751672"/>
    <w:rsid w:val="00754DD7"/>
    <w:rsid w:val="00785411"/>
    <w:rsid w:val="0079246E"/>
    <w:rsid w:val="00794AAD"/>
    <w:rsid w:val="007A5F8E"/>
    <w:rsid w:val="007D245C"/>
    <w:rsid w:val="007E6097"/>
    <w:rsid w:val="00811DD3"/>
    <w:rsid w:val="00841E25"/>
    <w:rsid w:val="00871DC8"/>
    <w:rsid w:val="008727F6"/>
    <w:rsid w:val="00875B0F"/>
    <w:rsid w:val="009021FE"/>
    <w:rsid w:val="009416F5"/>
    <w:rsid w:val="00946D1E"/>
    <w:rsid w:val="00991231"/>
    <w:rsid w:val="00991FC2"/>
    <w:rsid w:val="00997989"/>
    <w:rsid w:val="009B07A3"/>
    <w:rsid w:val="009C2BAB"/>
    <w:rsid w:val="009D034C"/>
    <w:rsid w:val="009E0398"/>
    <w:rsid w:val="009E46B6"/>
    <w:rsid w:val="009E5B33"/>
    <w:rsid w:val="00A4025F"/>
    <w:rsid w:val="00A46500"/>
    <w:rsid w:val="00A71C62"/>
    <w:rsid w:val="00AA348D"/>
    <w:rsid w:val="00AC6226"/>
    <w:rsid w:val="00AD3030"/>
    <w:rsid w:val="00AE2ADF"/>
    <w:rsid w:val="00B209E4"/>
    <w:rsid w:val="00B30B02"/>
    <w:rsid w:val="00B52DCC"/>
    <w:rsid w:val="00B977BC"/>
    <w:rsid w:val="00BB0403"/>
    <w:rsid w:val="00BD0D99"/>
    <w:rsid w:val="00BE01EF"/>
    <w:rsid w:val="00BE4ABA"/>
    <w:rsid w:val="00BF49B1"/>
    <w:rsid w:val="00C01325"/>
    <w:rsid w:val="00C118A6"/>
    <w:rsid w:val="00C14AD8"/>
    <w:rsid w:val="00C258C9"/>
    <w:rsid w:val="00C32C80"/>
    <w:rsid w:val="00C74152"/>
    <w:rsid w:val="00C84362"/>
    <w:rsid w:val="00CD78D2"/>
    <w:rsid w:val="00CE3EE3"/>
    <w:rsid w:val="00D34D48"/>
    <w:rsid w:val="00D374B2"/>
    <w:rsid w:val="00D54D33"/>
    <w:rsid w:val="00D7240A"/>
    <w:rsid w:val="00D859CB"/>
    <w:rsid w:val="00DC6567"/>
    <w:rsid w:val="00E03B3A"/>
    <w:rsid w:val="00E279B4"/>
    <w:rsid w:val="00E50D7A"/>
    <w:rsid w:val="00E77F59"/>
    <w:rsid w:val="00E84003"/>
    <w:rsid w:val="00E92E63"/>
    <w:rsid w:val="00EE5446"/>
    <w:rsid w:val="00EF19A7"/>
    <w:rsid w:val="00EF4D5E"/>
    <w:rsid w:val="00EF7E68"/>
    <w:rsid w:val="00F216F7"/>
    <w:rsid w:val="00F65130"/>
    <w:rsid w:val="00F827DF"/>
    <w:rsid w:val="00F97265"/>
    <w:rsid w:val="00FA3062"/>
    <w:rsid w:val="00FB5E3D"/>
    <w:rsid w:val="00FB7AE6"/>
    <w:rsid w:val="00FD220C"/>
    <w:rsid w:val="00FD679F"/>
    <w:rsid w:val="00FF555E"/>
    <w:rsid w:val="00FF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4200"/>
  <w15:chartTrackingRefBased/>
  <w15:docId w15:val="{C60884C7-C8F0-414E-A2CA-31F3DA26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20C"/>
    <w:pPr>
      <w:ind w:left="720"/>
      <w:contextualSpacing/>
    </w:pPr>
  </w:style>
  <w:style w:type="character" w:customStyle="1" w:styleId="Heading1Char">
    <w:name w:val="Heading 1 Char"/>
    <w:basedOn w:val="DefaultParagraphFont"/>
    <w:link w:val="Heading1"/>
    <w:uiPriority w:val="9"/>
    <w:rsid w:val="0038101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7F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F5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1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1788</TotalTime>
  <Pages>6</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Rutledge</dc:creator>
  <cp:keywords/>
  <dc:description/>
  <cp:lastModifiedBy>Julie McClendon</cp:lastModifiedBy>
  <cp:revision>115</cp:revision>
  <dcterms:created xsi:type="dcterms:W3CDTF">2022-10-28T17:14:00Z</dcterms:created>
  <dcterms:modified xsi:type="dcterms:W3CDTF">2023-03-29T22:50:00Z</dcterms:modified>
</cp:coreProperties>
</file>